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F0" w:rsidRPr="003011F0" w:rsidRDefault="003011F0" w:rsidP="003011F0">
      <w:pPr>
        <w:tabs>
          <w:tab w:val="left" w:pos="0"/>
        </w:tabs>
        <w:bidi/>
        <w:spacing w:before="100" w:beforeAutospacing="1" w:after="100" w:afterAutospacing="1"/>
        <w:rPr>
          <w:rFonts w:ascii="Tahoma" w:hAnsi="Tahoma" w:cs="Simplified Arabic"/>
          <w:color w:val="000000"/>
          <w:sz w:val="26"/>
          <w:szCs w:val="26"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نحن عبدا لل</w:t>
      </w:r>
      <w:r w:rsidRPr="003011F0">
        <w:rPr>
          <w:rFonts w:ascii="Tahoma" w:hAnsi="Tahoma" w:cs="Simplified Arabic" w:hint="eastAsia"/>
          <w:color w:val="000000"/>
          <w:sz w:val="26"/>
          <w:szCs w:val="26"/>
          <w:rtl/>
        </w:rPr>
        <w:t>ه</w:t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 الثاني ابن الحسين ملك المملكة الأردنية الهاشمية 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بمقتضـى المـادة (120) مــن الدستــــــور  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وبنـاء على ما قــرره مجلـس الـــوزراء بتاريـــخ 29/8/2006</w:t>
      </w:r>
    </w:p>
    <w:p w:rsidR="003011F0" w:rsidRPr="003011F0" w:rsidRDefault="003011F0" w:rsidP="003011F0">
      <w:pPr>
        <w:bidi/>
        <w:spacing w:before="100" w:beforeAutospacing="1" w:after="100" w:afterAutospacing="1"/>
        <w:jc w:val="lowKashida"/>
        <w:rPr>
          <w:rFonts w:ascii="Tahoma" w:hAnsi="Tahoma" w:cs="Simplified Arabic" w:hint="cs"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 نأمر بوضع النظام الآتي:-  </w:t>
      </w:r>
    </w:p>
    <w:p w:rsidR="003011F0" w:rsidRPr="003011F0" w:rsidRDefault="003011F0" w:rsidP="003011F0">
      <w:pPr>
        <w:bidi/>
        <w:spacing w:before="100" w:beforeAutospacing="1" w:after="100" w:afterAutospacing="1"/>
        <w:jc w:val="center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نظام رقم (  64) لسنة 2006 </w:t>
      </w:r>
      <w:r w:rsidRPr="003011F0"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br/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نظام تحسين الخدمات الحكومية</w:t>
      </w:r>
      <w:r w:rsidRPr="003011F0"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br/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صادر بمقتضى المادة (120) من الدستور</w:t>
      </w:r>
      <w:r w:rsidRPr="003011F0"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br/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ــــــــــــــــــــــــــــــــــــــــــــــــــــــ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/>
          <w:b/>
          <w:bCs/>
          <w:color w:val="000000"/>
          <w:sz w:val="26"/>
          <w:szCs w:val="26"/>
        </w:rPr>
      </w:pPr>
      <w:r w:rsidRPr="003011F0"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t>المادة (1)</w:t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: يسمى هذا النظام ( نظام تحسين الخدمات الحكومية لسنة 2006 ) ويعمل </w:t>
      </w:r>
      <w:proofErr w:type="spellStart"/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به</w:t>
      </w:r>
      <w:proofErr w:type="spellEnd"/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 من تاريخ نشره في الجريدة الرسمية.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t>المادة (2):</w:t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 يكون للكلمات والعبارات التالية حيثما وردت في هذا النظام المعاني المخصصـة   لها أدناه، ما لم تدل القرينة على غير ذلك:-</w:t>
      </w: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2160"/>
        <w:gridCol w:w="360"/>
        <w:gridCol w:w="5760"/>
      </w:tblGrid>
      <w:tr w:rsidR="003011F0" w:rsidRPr="003011F0">
        <w:trPr>
          <w:tblCellSpacing w:w="0" w:type="dxa"/>
        </w:trPr>
        <w:tc>
          <w:tcPr>
            <w:tcW w:w="2160" w:type="dxa"/>
          </w:tcPr>
          <w:p w:rsidR="003011F0" w:rsidRPr="003011F0" w:rsidRDefault="003011F0">
            <w:pPr>
              <w:bidi/>
              <w:rPr>
                <w:rFonts w:ascii="Tahoma" w:hAnsi="Tahoma" w:cs="Simplified Arabic"/>
                <w:b/>
                <w:bCs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الوزارة</w:t>
            </w:r>
            <w:r w:rsidRPr="003011F0">
              <w:rPr>
                <w:rFonts w:ascii="Tahoma" w:hAnsi="Tahoma" w:cs="Simplified Arabic" w:hint="cs"/>
                <w:b/>
                <w:bCs/>
                <w:sz w:val="26"/>
                <w:szCs w:val="26"/>
                <w:rtl/>
              </w:rPr>
              <w:br/>
            </w:r>
          </w:p>
        </w:tc>
        <w:tc>
          <w:tcPr>
            <w:tcW w:w="360" w:type="dxa"/>
          </w:tcPr>
          <w:p w:rsidR="003011F0" w:rsidRPr="003011F0" w:rsidRDefault="003011F0">
            <w:pPr>
              <w:bidi/>
              <w:spacing w:before="100" w:beforeAutospacing="1" w:after="100" w:afterAutospacing="1"/>
              <w:rPr>
                <w:rFonts w:ascii="Tahoma" w:hAnsi="Tahoma" w:cs="Simplified Arabic"/>
                <w:b/>
                <w:bCs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:</w:t>
            </w:r>
          </w:p>
        </w:tc>
        <w:tc>
          <w:tcPr>
            <w:tcW w:w="5760" w:type="dxa"/>
          </w:tcPr>
          <w:p w:rsidR="003011F0" w:rsidRPr="003011F0" w:rsidRDefault="003011F0">
            <w:pPr>
              <w:bidi/>
              <w:spacing w:before="100" w:beforeAutospacing="1" w:after="100" w:afterAutospacing="1"/>
              <w:rPr>
                <w:rFonts w:ascii="Tahoma" w:hAnsi="Tahoma" w:cs="Simplified Arabic"/>
                <w:b/>
                <w:bCs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وزارة تطوير القطاع العام.</w:t>
            </w:r>
          </w:p>
        </w:tc>
      </w:tr>
      <w:tr w:rsidR="003011F0" w:rsidRPr="003011F0">
        <w:trPr>
          <w:tblCellSpacing w:w="0" w:type="dxa"/>
        </w:trPr>
        <w:tc>
          <w:tcPr>
            <w:tcW w:w="2160" w:type="dxa"/>
          </w:tcPr>
          <w:p w:rsidR="003011F0" w:rsidRPr="003011F0" w:rsidRDefault="003011F0">
            <w:pPr>
              <w:bidi/>
              <w:spacing w:before="100" w:beforeAutospacing="1" w:after="100" w:afterAutospacing="1"/>
              <w:rPr>
                <w:rFonts w:ascii="Tahoma" w:hAnsi="Tahoma" w:cs="Simplified Arabic"/>
                <w:b/>
                <w:bCs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الدائرة</w:t>
            </w:r>
          </w:p>
        </w:tc>
        <w:tc>
          <w:tcPr>
            <w:tcW w:w="360" w:type="dxa"/>
          </w:tcPr>
          <w:p w:rsidR="003011F0" w:rsidRPr="003011F0" w:rsidRDefault="003011F0">
            <w:pPr>
              <w:bidi/>
              <w:spacing w:before="100" w:beforeAutospacing="1" w:after="100" w:afterAutospacing="1"/>
              <w:rPr>
                <w:rFonts w:ascii="Tahoma" w:hAnsi="Tahoma" w:cs="Simplified Arabic"/>
                <w:b/>
                <w:bCs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:</w:t>
            </w:r>
          </w:p>
        </w:tc>
        <w:tc>
          <w:tcPr>
            <w:tcW w:w="5760" w:type="dxa"/>
          </w:tcPr>
          <w:p w:rsidR="003011F0" w:rsidRPr="003011F0" w:rsidRDefault="003011F0" w:rsidP="003011F0">
            <w:pPr>
              <w:bidi/>
              <w:spacing w:before="100" w:beforeAutospacing="1" w:after="100" w:afterAutospacing="1"/>
              <w:rPr>
                <w:rFonts w:ascii="Tahoma" w:hAnsi="Tahoma" w:cs="Simplified Arabic"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أي وزارة أو دائرة أو سلطة أو مؤسسة رسمية عامة.</w:t>
            </w:r>
          </w:p>
        </w:tc>
      </w:tr>
      <w:tr w:rsidR="003011F0" w:rsidRPr="003011F0">
        <w:trPr>
          <w:tblCellSpacing w:w="0" w:type="dxa"/>
        </w:trPr>
        <w:tc>
          <w:tcPr>
            <w:tcW w:w="2160" w:type="dxa"/>
          </w:tcPr>
          <w:p w:rsidR="003011F0" w:rsidRPr="003011F0" w:rsidRDefault="003011F0">
            <w:pPr>
              <w:bidi/>
              <w:spacing w:before="100" w:beforeAutospacing="1" w:after="100" w:afterAutospacing="1"/>
              <w:rPr>
                <w:rFonts w:ascii="Tahoma" w:hAnsi="Tahoma" w:cs="Simplified Arabic"/>
                <w:b/>
                <w:bCs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الخدمة</w:t>
            </w:r>
          </w:p>
        </w:tc>
        <w:tc>
          <w:tcPr>
            <w:tcW w:w="360" w:type="dxa"/>
          </w:tcPr>
          <w:p w:rsidR="003011F0" w:rsidRPr="003011F0" w:rsidRDefault="003011F0">
            <w:pPr>
              <w:bidi/>
              <w:spacing w:before="100" w:beforeAutospacing="1" w:after="100" w:afterAutospacing="1"/>
              <w:rPr>
                <w:rFonts w:ascii="Tahoma" w:hAnsi="Tahoma" w:cs="Simplified Arabic"/>
                <w:b/>
                <w:bCs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:</w:t>
            </w:r>
          </w:p>
        </w:tc>
        <w:tc>
          <w:tcPr>
            <w:tcW w:w="5760" w:type="dxa"/>
          </w:tcPr>
          <w:p w:rsidR="003011F0" w:rsidRPr="003011F0" w:rsidRDefault="003011F0" w:rsidP="003011F0">
            <w:pPr>
              <w:bidi/>
              <w:spacing w:before="100" w:beforeAutospacing="1" w:after="100" w:afterAutospacing="1"/>
              <w:rPr>
                <w:rFonts w:ascii="Tahoma" w:hAnsi="Tahoma" w:cs="Simplified Arabic"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العمل الذي تقدمه الدائرة ويعود بالمنفعة على متلقيها.</w:t>
            </w:r>
          </w:p>
        </w:tc>
      </w:tr>
      <w:tr w:rsidR="003011F0" w:rsidRPr="003011F0">
        <w:trPr>
          <w:tblCellSpacing w:w="0" w:type="dxa"/>
        </w:trPr>
        <w:tc>
          <w:tcPr>
            <w:tcW w:w="2160" w:type="dxa"/>
          </w:tcPr>
          <w:p w:rsidR="003011F0" w:rsidRPr="003011F0" w:rsidRDefault="003011F0">
            <w:pPr>
              <w:bidi/>
              <w:spacing w:before="100" w:beforeAutospacing="1" w:after="100" w:afterAutospacing="1"/>
              <w:rPr>
                <w:rFonts w:ascii="Tahoma" w:hAnsi="Tahoma" w:cs="Simplified Arabic"/>
                <w:b/>
                <w:bCs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متلقي الخدمة</w:t>
            </w:r>
          </w:p>
        </w:tc>
        <w:tc>
          <w:tcPr>
            <w:tcW w:w="360" w:type="dxa"/>
          </w:tcPr>
          <w:p w:rsidR="003011F0" w:rsidRPr="003011F0" w:rsidRDefault="003011F0">
            <w:pPr>
              <w:bidi/>
              <w:spacing w:before="100" w:beforeAutospacing="1" w:after="100" w:afterAutospacing="1"/>
              <w:rPr>
                <w:rFonts w:ascii="Tahoma" w:hAnsi="Tahoma" w:cs="Simplified Arabic"/>
                <w:b/>
                <w:bCs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:</w:t>
            </w:r>
          </w:p>
        </w:tc>
        <w:tc>
          <w:tcPr>
            <w:tcW w:w="5760" w:type="dxa"/>
          </w:tcPr>
          <w:p w:rsidR="003011F0" w:rsidRPr="003011F0" w:rsidRDefault="003011F0">
            <w:pPr>
              <w:bidi/>
              <w:spacing w:before="100" w:beforeAutospacing="1" w:after="100" w:afterAutospacing="1"/>
              <w:rPr>
                <w:rFonts w:ascii="Tahoma" w:hAnsi="Tahoma" w:cs="Simplified Arabic"/>
                <w:b/>
                <w:bCs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أي شخص طبيعي أو اعتباري، يستفيد من الخدمات التي تقدمها الدائرة بطريقة مباشرة أو غير مباشرة.</w:t>
            </w:r>
          </w:p>
        </w:tc>
      </w:tr>
      <w:tr w:rsidR="003011F0" w:rsidRPr="003011F0">
        <w:trPr>
          <w:tblCellSpacing w:w="0" w:type="dxa"/>
        </w:trPr>
        <w:tc>
          <w:tcPr>
            <w:tcW w:w="2160" w:type="dxa"/>
          </w:tcPr>
          <w:p w:rsidR="003011F0" w:rsidRPr="003011F0" w:rsidRDefault="003011F0">
            <w:pPr>
              <w:bidi/>
              <w:spacing w:before="100" w:beforeAutospacing="1" w:after="100" w:afterAutospacing="1"/>
              <w:rPr>
                <w:rFonts w:ascii="Tahoma" w:hAnsi="Tahoma" w:cs="Simplified Arabic"/>
                <w:b/>
                <w:bCs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معايير الخدمة</w:t>
            </w:r>
          </w:p>
        </w:tc>
        <w:tc>
          <w:tcPr>
            <w:tcW w:w="360" w:type="dxa"/>
          </w:tcPr>
          <w:p w:rsidR="003011F0" w:rsidRPr="003011F0" w:rsidRDefault="003011F0">
            <w:pPr>
              <w:bidi/>
              <w:spacing w:before="100" w:beforeAutospacing="1" w:after="100" w:afterAutospacing="1"/>
              <w:rPr>
                <w:rFonts w:ascii="Tahoma" w:hAnsi="Tahoma" w:cs="Simplified Arabic"/>
                <w:b/>
                <w:bCs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:</w:t>
            </w:r>
          </w:p>
        </w:tc>
        <w:tc>
          <w:tcPr>
            <w:tcW w:w="5760" w:type="dxa"/>
          </w:tcPr>
          <w:p w:rsidR="003011F0" w:rsidRPr="003011F0" w:rsidRDefault="003011F0">
            <w:pPr>
              <w:bidi/>
              <w:spacing w:before="100" w:beforeAutospacing="1" w:after="100" w:afterAutospacing="1"/>
              <w:rPr>
                <w:rFonts w:ascii="Tahoma" w:hAnsi="Tahoma" w:cs="Simplified Arabic"/>
                <w:b/>
                <w:bCs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مواصفات الخدمة المقدمة من حيث الوقت والكلفة والإجراءات والجودة ومكان التقديم وغيرها والتي يتوجب على الدائرة تقديمها بالمستوى المستهدف لها.</w:t>
            </w:r>
          </w:p>
        </w:tc>
      </w:tr>
      <w:tr w:rsidR="003011F0" w:rsidRPr="003011F0">
        <w:trPr>
          <w:tblCellSpacing w:w="0" w:type="dxa"/>
        </w:trPr>
        <w:tc>
          <w:tcPr>
            <w:tcW w:w="2160" w:type="dxa"/>
          </w:tcPr>
          <w:p w:rsidR="003011F0" w:rsidRPr="003011F0" w:rsidRDefault="003011F0">
            <w:pPr>
              <w:bidi/>
              <w:spacing w:before="100" w:beforeAutospacing="1" w:after="100" w:afterAutospacing="1"/>
              <w:rPr>
                <w:rFonts w:ascii="Tahoma" w:hAnsi="Tahoma" w:cs="Simplified Arabic"/>
                <w:b/>
                <w:bCs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المستوى المستهدف</w:t>
            </w:r>
          </w:p>
        </w:tc>
        <w:tc>
          <w:tcPr>
            <w:tcW w:w="360" w:type="dxa"/>
          </w:tcPr>
          <w:p w:rsidR="003011F0" w:rsidRPr="003011F0" w:rsidRDefault="003011F0">
            <w:pPr>
              <w:bidi/>
              <w:spacing w:before="100" w:beforeAutospacing="1" w:after="100" w:afterAutospacing="1"/>
              <w:rPr>
                <w:rFonts w:ascii="Tahoma" w:hAnsi="Tahoma" w:cs="Simplified Arabic"/>
                <w:b/>
                <w:bCs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:</w:t>
            </w:r>
          </w:p>
        </w:tc>
        <w:tc>
          <w:tcPr>
            <w:tcW w:w="5760" w:type="dxa"/>
          </w:tcPr>
          <w:p w:rsidR="003011F0" w:rsidRPr="003011F0" w:rsidRDefault="003011F0">
            <w:pPr>
              <w:bidi/>
              <w:spacing w:before="100" w:beforeAutospacing="1" w:after="100" w:afterAutospacing="1"/>
              <w:rPr>
                <w:rFonts w:ascii="Tahoma" w:hAnsi="Tahoma" w:cs="Simplified Arabic"/>
                <w:b/>
                <w:bCs/>
                <w:sz w:val="26"/>
                <w:szCs w:val="26"/>
              </w:rPr>
            </w:pPr>
            <w:r w:rsidRPr="003011F0">
              <w:rPr>
                <w:rFonts w:ascii="Tahoma" w:hAnsi="Tahoma" w:cs="Simplified Arabic" w:hint="cs"/>
                <w:sz w:val="26"/>
                <w:szCs w:val="26"/>
                <w:rtl/>
              </w:rPr>
              <w:t>مستوى أداء محدد وملائم وقابل للقياس تسعى الدائرة لتحقيقه خلال مدة زمنية معينة لكل معيار من معايير الخدمة.</w:t>
            </w:r>
          </w:p>
        </w:tc>
      </w:tr>
    </w:tbl>
    <w:p w:rsid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/>
          <w:color w:val="000000"/>
          <w:sz w:val="26"/>
          <w:szCs w:val="26"/>
        </w:rPr>
      </w:pP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lastRenderedPageBreak/>
        <w:t> </w:t>
      </w:r>
      <w:r w:rsidRPr="003011F0"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t>المادة (3)</w:t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: </w:t>
      </w:r>
      <w:r w:rsidRPr="003011F0"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تتولى الوزارة المهام التالية:-</w:t>
      </w:r>
    </w:p>
    <w:p w:rsidR="003011F0" w:rsidRPr="003011F0" w:rsidRDefault="003011F0" w:rsidP="003011F0">
      <w:pPr>
        <w:numPr>
          <w:ilvl w:val="0"/>
          <w:numId w:val="1"/>
        </w:num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تقديم الاستشارة الفنية إلى الدائرة بما يساهم في بناء قدراتها في مجال  تحسين الخدمات الحكومية.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/>
          <w:b/>
          <w:bCs/>
          <w:color w:val="000000"/>
          <w:sz w:val="26"/>
          <w:szCs w:val="26"/>
        </w:rPr>
      </w:pPr>
      <w:r w:rsidRPr="003011F0">
        <w:rPr>
          <w:rFonts w:ascii="Tahoma" w:hAnsi="Tahoma" w:cs="Simplified Arabic"/>
          <w:color w:val="000000"/>
          <w:sz w:val="26"/>
          <w:szCs w:val="26"/>
        </w:rPr>
        <w:t xml:space="preserve"> </w:t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ب- نشر الوعي العام  في مجال تحسين الخدمات بالتعاون مع الدائرة المعنية .</w:t>
      </w:r>
      <w:r w:rsidRPr="003011F0">
        <w:rPr>
          <w:rFonts w:ascii="Tahoma" w:hAnsi="Tahoma" w:cs="Simplified Arabic"/>
          <w:color w:val="000000"/>
          <w:sz w:val="26"/>
          <w:szCs w:val="26"/>
        </w:rPr>
        <w:t xml:space="preserve"> 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/>
          <w:b/>
          <w:bCs/>
          <w:color w:val="000000"/>
          <w:sz w:val="26"/>
          <w:szCs w:val="26"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ج- مساعدة الدائرة في استخدام الآليات اللازمة لتطوير معايير الخدمات التي تقدمها وتحديد المستويات ألمستهدفه لها.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د- التعاون مع الدائرة في مجال قياس مستوى الخدمات التي تقدمها وتحديد مجالات التحسين الممكنة لهذه الخدمات.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هـ- إعداد الدراسات المتعلقة بالخدمات الحكومية بالتعاون مع الجهات التي تقدمها لتحسين خدماتها ورفع التوصيات بهذا الشأن </w:t>
      </w:r>
      <w:proofErr w:type="spellStart"/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الى</w:t>
      </w:r>
      <w:proofErr w:type="spellEnd"/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 مجلس الوزراء.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color w:val="000000"/>
          <w:sz w:val="26"/>
          <w:szCs w:val="26"/>
          <w:rtl/>
        </w:rPr>
      </w:pP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/>
          <w:b/>
          <w:bCs/>
          <w:color w:val="000000"/>
          <w:sz w:val="26"/>
          <w:szCs w:val="26"/>
        </w:rPr>
      </w:pPr>
      <w:r w:rsidRPr="003011F0"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t>المادة (4)</w:t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: لغايات هذا النظام ، تتولى الدائرة المهام التالية: -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br/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أ- التنسيق والتعاون مع الوزارة في مجال تطبيق الآليات والأدوات اللازمة لتحسين الخدمات التي تقدمها.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ب- تحديد احتياجات وتطلعات متلقي الخدمة.</w:t>
      </w:r>
      <w:r w:rsidRPr="003011F0">
        <w:rPr>
          <w:rFonts w:ascii="Tahoma" w:hAnsi="Tahoma" w:cs="Simplified Arabic"/>
          <w:color w:val="000000"/>
          <w:sz w:val="26"/>
          <w:szCs w:val="26"/>
        </w:rPr>
        <w:t xml:space="preserve"> 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ج- تطوير معايير الخدمات التي تقدمها وتحديد المستوى المستهدف لها وتعميمها  على الجهات المعنية.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د- قياس مستوى الأداء الفعلي لخدماتها مقارنة مع المعايير الموضوعة بهدف التعلم والتحسين المستمر.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هـ- قياس مستوى رضا متلقي الخدمات.</w:t>
      </w:r>
      <w:r w:rsidRPr="003011F0"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br/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   </w:t>
      </w:r>
      <w:r w:rsidRPr="003011F0"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br/>
        <w:t>المادة (5)</w:t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: لغايات تحديد احتياجات متلقي الخدمة ، على الدائرة أن تقوم مرة واحدة في السنة على </w:t>
      </w:r>
      <w:proofErr w:type="spellStart"/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الاقل</w:t>
      </w:r>
      <w:proofErr w:type="spellEnd"/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 بقياس صوت متلقي الخدمة  وتحديد احتياجاته وذلك باستخدام أكثر من آلية أو أداة من الآليات والأدوات الملائمة بما في ذلك مكتب خدمة الجمهور ونظام الشكاوى والاقتراحات واستطلاعات الرأي والمقابلات المنظمة.</w:t>
      </w:r>
      <w:r w:rsidRPr="003011F0">
        <w:rPr>
          <w:rFonts w:ascii="Tahoma" w:hAnsi="Tahoma" w:cs="Simplified Arabic"/>
          <w:color w:val="000000"/>
          <w:sz w:val="26"/>
          <w:szCs w:val="26"/>
        </w:rPr>
        <w:t xml:space="preserve"> 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lastRenderedPageBreak/>
        <w:t>المادة (6)</w:t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: لغايات تطوير ونشر معايير الخدمة، على الدائرة وضع الأسس والآليات المناسبة وضمان شمولية وملائمة المعايير لجميع جوانب تقديم الخدمة، وتحديد المستوى المستهدف لكل معيار.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t xml:space="preserve">المادة </w:t>
      </w:r>
      <w:r w:rsidRPr="003011F0">
        <w:rPr>
          <w:rFonts w:ascii="Tahoma" w:hAnsi="Tahoma" w:cs="Simplified Arabic" w:hint="cs"/>
          <w:b/>
          <w:bCs/>
          <w:color w:val="000000"/>
          <w:sz w:val="26"/>
          <w:szCs w:val="26"/>
          <w:rtl/>
          <w:lang w:bidi="ar-JO"/>
        </w:rPr>
        <w:t>(7)</w:t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  <w:lang w:bidi="ar-JO"/>
        </w:rPr>
        <w:t>:</w:t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 لغايات مراجعة الأداء الفعلي للخدمات المقدمة وقياسها ورفع مستواها، على الدائرة استخدام الآليات والأدوات، وذلك بهدف تحديد مجالات تحسين الخدمات ووضع الخطط اللازمة لتنفيذها.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t>المادة (8)</w:t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: لغايات تنفيذ أحكام هذا النظام على الدائرة:-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أ- تحديد الخدمات التي تقدمها.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ب- تحديد المديريات التي تقدم الخدمة وتحديد الجهات الأخرى ذات العلاقة.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ج- إعداد دليل خدمات.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د- اتخاذ الإجراءات الكفيلة بتنفيذ أحكام هذا النظام بما في ذلك تحديد جهة معينة  في الدائرة تتولى مسؤولية تطبيقه وتسهيل مهمة عمل فريق الوزارة في مجال تحسين الخدمات.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هـ- توعية وتدريب الموظفين على الآليات والأدوات والإجراءات ومعايير الخدمات الموضوعة لضمان تقديم الخدمات بكفاءة.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و- وضع خطة تنفيذية لتحسين خدماتها ضمن جدول زمني محدد 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ز- ضمان حصول متلقي الخدمة على المعلومات المتعلقة بتقديم الخدمات في الدائرة 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color w:val="000000"/>
          <w:sz w:val="26"/>
          <w:szCs w:val="26"/>
          <w:rtl/>
        </w:rPr>
      </w:pP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t>المادة (9)</w:t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: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    أ-  تلتزم الدائرة ببيان أسباب ومبررات عدم حصول متلقي الخدمة على الخدمة المطلوبة .   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color w:val="000000"/>
          <w:sz w:val="26"/>
          <w:szCs w:val="26"/>
          <w:rtl/>
          <w:lang w:bidi="ar-JO"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    ب-  يحق لمتلقي الخدمة الاعتراض على عدم تقديم الخدمــة وفقاً للمعايير الموضوعة والمعلن عنها.</w:t>
      </w:r>
    </w:p>
    <w:p w:rsidR="003011F0" w:rsidRPr="003011F0" w:rsidRDefault="003011F0" w:rsidP="003011F0">
      <w:pPr>
        <w:bidi/>
        <w:spacing w:before="100" w:beforeAutospacing="1" w:after="100" w:afterAutospacing="1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3011F0">
        <w:rPr>
          <w:rFonts w:ascii="Tahoma" w:hAnsi="Tahoma" w:cs="Simplified Arabic" w:hint="cs"/>
          <w:color w:val="000000"/>
          <w:sz w:val="26"/>
          <w:szCs w:val="26"/>
          <w:rtl/>
          <w:lang w:bidi="ar-JO"/>
        </w:rPr>
        <w:t xml:space="preserve"> </w:t>
      </w:r>
      <w:r w:rsidRPr="003011F0">
        <w:rPr>
          <w:rFonts w:ascii="Tahoma" w:hAnsi="Tahoma" w:cs="Simplified Arabic"/>
          <w:color w:val="000000"/>
          <w:sz w:val="26"/>
          <w:szCs w:val="26"/>
          <w:lang w:bidi="ar-JO"/>
        </w:rPr>
        <w:t xml:space="preserve"> </w:t>
      </w:r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  ج- تصدر الدائرة بالتنسيق مع الوزارة التعليمات المتعلقة </w:t>
      </w:r>
      <w:proofErr w:type="spellStart"/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>باجراءات</w:t>
      </w:r>
      <w:proofErr w:type="spellEnd"/>
      <w:r w:rsidRPr="003011F0">
        <w:rPr>
          <w:rFonts w:ascii="Tahoma" w:hAnsi="Tahoma" w:cs="Simplified Arabic" w:hint="cs"/>
          <w:color w:val="000000"/>
          <w:sz w:val="26"/>
          <w:szCs w:val="26"/>
          <w:rtl/>
        </w:rPr>
        <w:t xml:space="preserve"> تقديم الاعتراض والية البت فيه.</w:t>
      </w:r>
    </w:p>
    <w:p w:rsidR="00136D1A" w:rsidRPr="003011F0" w:rsidRDefault="00136D1A" w:rsidP="003011F0">
      <w:pPr>
        <w:bidi/>
        <w:rPr>
          <w:rFonts w:cs="Simplified Arabic"/>
          <w:sz w:val="26"/>
          <w:szCs w:val="26"/>
        </w:rPr>
      </w:pPr>
    </w:p>
    <w:sectPr w:rsidR="00136D1A" w:rsidRPr="003011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E3B"/>
    <w:multiLevelType w:val="multilevel"/>
    <w:tmpl w:val="FD0C3D12"/>
    <w:lvl w:ilvl="0">
      <w:start w:val="1"/>
      <w:numFmt w:val="arabicAlpha"/>
      <w:lvlText w:val="%1-"/>
      <w:lvlJc w:val="center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-%2-"/>
      <w:lvlJc w:val="center"/>
      <w:pPr>
        <w:tabs>
          <w:tab w:val="num" w:pos="720"/>
        </w:tabs>
        <w:ind w:left="720" w:hanging="360"/>
      </w:p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011F0"/>
    <w:rsid w:val="00136D1A"/>
    <w:rsid w:val="002761D5"/>
    <w:rsid w:val="002F3252"/>
    <w:rsid w:val="003011F0"/>
    <w:rsid w:val="00996294"/>
    <w:rsid w:val="00B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1F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نحن عبدا لله الثاني ابن الحسين ملك المملكة الأردنية الهاشمية </vt:lpstr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نحن عبدا لله الثاني ابن الحسين ملك المملكة الأردنية الهاشمية</dc:title>
  <dc:creator>aamal.n</dc:creator>
  <cp:lastModifiedBy>moewebmaster</cp:lastModifiedBy>
  <cp:revision>2</cp:revision>
  <dcterms:created xsi:type="dcterms:W3CDTF">2011-02-20T11:23:00Z</dcterms:created>
  <dcterms:modified xsi:type="dcterms:W3CDTF">2011-02-20T11:23:00Z</dcterms:modified>
</cp:coreProperties>
</file>